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AB63A" w14:textId="3D82DB15" w:rsidR="000E3F01" w:rsidRDefault="001726D4" w:rsidP="000E3F01">
      <w:pPr>
        <w:jc w:val="center"/>
      </w:pPr>
      <w:r>
        <w:rPr>
          <w:noProof/>
        </w:rPr>
        <w:drawing>
          <wp:inline distT="0" distB="0" distL="0" distR="0" wp14:anchorId="50DD1E08" wp14:editId="3EA35A05">
            <wp:extent cx="3498850" cy="1038471"/>
            <wp:effectExtent l="0" t="0" r="6350" b="9525"/>
            <wp:docPr id="976319846" name="Picture 1" descr="Ken Chapman &amp; Associate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n Chapman &amp; Associates, In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9222" cy="1044517"/>
                    </a:xfrm>
                    <a:prstGeom prst="rect">
                      <a:avLst/>
                    </a:prstGeom>
                    <a:noFill/>
                    <a:ln>
                      <a:noFill/>
                    </a:ln>
                  </pic:spPr>
                </pic:pic>
              </a:graphicData>
            </a:graphic>
          </wp:inline>
        </w:drawing>
      </w:r>
    </w:p>
    <w:p w14:paraId="7DAD975F" w14:textId="77777777" w:rsidR="000E3F01" w:rsidRDefault="000E3F01" w:rsidP="000E3F01">
      <w:pPr>
        <w:widowControl w:val="0"/>
        <w:spacing w:after="0" w:line="240" w:lineRule="auto"/>
        <w:rPr>
          <w:b/>
          <w:sz w:val="22"/>
          <w:szCs w:val="22"/>
          <w:u w:val="single"/>
        </w:rPr>
      </w:pPr>
    </w:p>
    <w:p w14:paraId="5FF66F6B" w14:textId="77777777" w:rsidR="001726D4" w:rsidRDefault="001726D4" w:rsidP="000E3F01">
      <w:pPr>
        <w:widowControl w:val="0"/>
        <w:spacing w:after="0" w:line="240" w:lineRule="auto"/>
        <w:rPr>
          <w:b/>
          <w:sz w:val="22"/>
          <w:szCs w:val="22"/>
          <w:u w:val="single"/>
        </w:rPr>
      </w:pPr>
    </w:p>
    <w:p w14:paraId="2DAE1350" w14:textId="77777777" w:rsidR="002563DD" w:rsidRDefault="002563DD" w:rsidP="000E3F01">
      <w:pPr>
        <w:widowControl w:val="0"/>
        <w:spacing w:after="0" w:line="240" w:lineRule="auto"/>
        <w:rPr>
          <w:b/>
          <w:sz w:val="22"/>
          <w:szCs w:val="22"/>
          <w:u w:val="single"/>
        </w:rPr>
      </w:pPr>
    </w:p>
    <w:p w14:paraId="70A55CC0" w14:textId="77777777" w:rsidR="005B2738" w:rsidRDefault="005B2738" w:rsidP="000E3F01">
      <w:pPr>
        <w:widowControl w:val="0"/>
        <w:spacing w:after="0" w:line="240" w:lineRule="auto"/>
        <w:rPr>
          <w:b/>
          <w:sz w:val="22"/>
          <w:szCs w:val="22"/>
          <w:u w:val="single"/>
        </w:rPr>
      </w:pPr>
    </w:p>
    <w:p w14:paraId="7F5C6666" w14:textId="1E063ED6" w:rsidR="000E3F01" w:rsidRDefault="000E3F01" w:rsidP="000E3F01">
      <w:pPr>
        <w:widowControl w:val="0"/>
        <w:spacing w:after="0" w:line="240" w:lineRule="auto"/>
        <w:rPr>
          <w:b/>
          <w:sz w:val="22"/>
          <w:szCs w:val="22"/>
        </w:rPr>
      </w:pPr>
      <w:r>
        <w:rPr>
          <w:b/>
          <w:sz w:val="22"/>
          <w:szCs w:val="22"/>
          <w:u w:val="single"/>
        </w:rPr>
        <w:t>FOR IMMEDIATE RELEASE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10409">
        <w:rPr>
          <w:sz w:val="22"/>
          <w:szCs w:val="22"/>
        </w:rPr>
        <w:t xml:space="preserve"> </w:t>
      </w:r>
      <w:r w:rsidR="00F10409">
        <w:rPr>
          <w:sz w:val="22"/>
          <w:szCs w:val="22"/>
        </w:rPr>
        <w:tab/>
      </w:r>
      <w:r>
        <w:rPr>
          <w:b/>
          <w:sz w:val="22"/>
          <w:szCs w:val="22"/>
        </w:rPr>
        <w:t xml:space="preserve">Media Contact:  </w:t>
      </w:r>
    </w:p>
    <w:p w14:paraId="16D140B5" w14:textId="70E479A8" w:rsidR="000E3F01" w:rsidRDefault="000E3F01" w:rsidP="000E3F01">
      <w:pPr>
        <w:tabs>
          <w:tab w:val="left" w:pos="4680"/>
        </w:tabs>
        <w:spacing w:after="0" w:line="240" w:lineRule="auto"/>
        <w:rPr>
          <w:sz w:val="22"/>
          <w:szCs w:val="22"/>
        </w:rPr>
      </w:pPr>
      <w:r>
        <w:rPr>
          <w:sz w:val="22"/>
          <w:szCs w:val="22"/>
        </w:rPr>
        <w:t>(</w:t>
      </w:r>
      <w:r w:rsidR="00015A77">
        <w:rPr>
          <w:sz w:val="22"/>
          <w:szCs w:val="22"/>
        </w:rPr>
        <w:t>Wednesda</w:t>
      </w:r>
      <w:r w:rsidR="00484208">
        <w:rPr>
          <w:sz w:val="22"/>
          <w:szCs w:val="22"/>
        </w:rPr>
        <w:t>y</w:t>
      </w:r>
      <w:r>
        <w:rPr>
          <w:sz w:val="22"/>
          <w:szCs w:val="22"/>
        </w:rPr>
        <w:t xml:space="preserve">, </w:t>
      </w:r>
      <w:r w:rsidR="001977AA">
        <w:rPr>
          <w:sz w:val="22"/>
          <w:szCs w:val="22"/>
        </w:rPr>
        <w:t xml:space="preserve">January </w:t>
      </w:r>
      <w:r w:rsidR="00015A77">
        <w:rPr>
          <w:sz w:val="22"/>
          <w:szCs w:val="22"/>
        </w:rPr>
        <w:t>21</w:t>
      </w:r>
      <w:r w:rsidR="001977AA">
        <w:rPr>
          <w:sz w:val="22"/>
          <w:szCs w:val="22"/>
        </w:rPr>
        <w:t>,</w:t>
      </w:r>
      <w:r>
        <w:rPr>
          <w:sz w:val="22"/>
          <w:szCs w:val="22"/>
        </w:rPr>
        <w:t xml:space="preserve"> 202</w:t>
      </w:r>
      <w:r w:rsidR="001977AA">
        <w:rPr>
          <w:sz w:val="22"/>
          <w:szCs w:val="22"/>
        </w:rPr>
        <w:t>6)</w:t>
      </w:r>
      <w:r>
        <w:rPr>
          <w:sz w:val="22"/>
          <w:szCs w:val="22"/>
        </w:rPr>
        <w:tab/>
      </w:r>
      <w:r>
        <w:rPr>
          <w:sz w:val="22"/>
          <w:szCs w:val="22"/>
        </w:rPr>
        <w:tab/>
      </w:r>
      <w:r>
        <w:rPr>
          <w:sz w:val="22"/>
          <w:szCs w:val="22"/>
        </w:rPr>
        <w:tab/>
      </w:r>
      <w:r>
        <w:rPr>
          <w:sz w:val="22"/>
          <w:szCs w:val="22"/>
        </w:rPr>
        <w:tab/>
      </w:r>
      <w:r w:rsidR="00F10409">
        <w:rPr>
          <w:sz w:val="22"/>
          <w:szCs w:val="22"/>
        </w:rPr>
        <w:tab/>
      </w:r>
      <w:r>
        <w:rPr>
          <w:sz w:val="22"/>
          <w:szCs w:val="22"/>
        </w:rPr>
        <w:t>Randolph Pitzer</w:t>
      </w:r>
    </w:p>
    <w:p w14:paraId="09170859" w14:textId="560CB457" w:rsidR="000E3F01" w:rsidRDefault="000E3F01" w:rsidP="000E3F01">
      <w:pPr>
        <w:tabs>
          <w:tab w:val="left" w:pos="4680"/>
        </w:tabs>
        <w:spacing w:after="0" w:line="240" w:lineRule="auto"/>
        <w:rPr>
          <w:sz w:val="22"/>
          <w:szCs w:val="22"/>
        </w:rPr>
      </w:pPr>
      <w:r>
        <w:rPr>
          <w:sz w:val="22"/>
          <w:szCs w:val="22"/>
        </w:rPr>
        <w:tab/>
      </w:r>
      <w:r>
        <w:rPr>
          <w:sz w:val="22"/>
          <w:szCs w:val="22"/>
        </w:rPr>
        <w:tab/>
      </w:r>
      <w:r>
        <w:rPr>
          <w:sz w:val="22"/>
          <w:szCs w:val="22"/>
        </w:rPr>
        <w:tab/>
      </w:r>
      <w:r>
        <w:rPr>
          <w:sz w:val="22"/>
          <w:szCs w:val="22"/>
        </w:rPr>
        <w:tab/>
      </w:r>
      <w:r w:rsidR="00F10409">
        <w:rPr>
          <w:sz w:val="22"/>
          <w:szCs w:val="22"/>
        </w:rPr>
        <w:tab/>
      </w:r>
      <w:r>
        <w:rPr>
          <w:sz w:val="22"/>
          <w:szCs w:val="22"/>
        </w:rPr>
        <w:t xml:space="preserve">Pitzer Relations  </w:t>
      </w:r>
      <w:r>
        <w:rPr>
          <w:sz w:val="22"/>
          <w:szCs w:val="22"/>
        </w:rPr>
        <w:tab/>
      </w:r>
      <w:r>
        <w:rPr>
          <w:sz w:val="22"/>
          <w:szCs w:val="22"/>
        </w:rPr>
        <w:tab/>
      </w:r>
      <w:r>
        <w:rPr>
          <w:sz w:val="22"/>
          <w:szCs w:val="22"/>
        </w:rPr>
        <w:tab/>
      </w:r>
      <w:r w:rsidR="000B1B16">
        <w:rPr>
          <w:sz w:val="22"/>
          <w:szCs w:val="22"/>
        </w:rPr>
        <w:tab/>
      </w:r>
      <w:r w:rsidR="000B1B16">
        <w:rPr>
          <w:sz w:val="22"/>
          <w:szCs w:val="22"/>
        </w:rPr>
        <w:tab/>
      </w:r>
      <w:r w:rsidR="000B1B16">
        <w:rPr>
          <w:sz w:val="22"/>
          <w:szCs w:val="22"/>
        </w:rPr>
        <w:tab/>
      </w:r>
      <w:r w:rsidR="000B1B16">
        <w:rPr>
          <w:sz w:val="22"/>
          <w:szCs w:val="22"/>
        </w:rPr>
        <w:tab/>
      </w:r>
      <w:hyperlink r:id="rId9" w:history="1">
        <w:r w:rsidR="00F10409" w:rsidRPr="00FB5825">
          <w:rPr>
            <w:rStyle w:val="Hyperlink"/>
            <w:sz w:val="22"/>
            <w:szCs w:val="22"/>
          </w:rPr>
          <w:t>rpitzer@pitzerrelations.com</w:t>
        </w:r>
      </w:hyperlink>
      <w:hyperlink r:id="rId10">
        <w:r>
          <w:rPr>
            <w:color w:val="0000FF"/>
            <w:sz w:val="22"/>
            <w:szCs w:val="22"/>
            <w:u w:val="single"/>
          </w:rPr>
          <w:br/>
        </w:r>
      </w:hyperlink>
      <w:r>
        <w:rPr>
          <w:sz w:val="22"/>
          <w:szCs w:val="22"/>
        </w:rPr>
        <w:t xml:space="preserve">                            </w:t>
      </w:r>
      <w:r>
        <w:rPr>
          <w:sz w:val="22"/>
          <w:szCs w:val="22"/>
        </w:rPr>
        <w:tab/>
      </w:r>
      <w:r>
        <w:rPr>
          <w:sz w:val="22"/>
          <w:szCs w:val="22"/>
        </w:rPr>
        <w:tab/>
      </w:r>
      <w:r>
        <w:rPr>
          <w:sz w:val="22"/>
          <w:szCs w:val="22"/>
        </w:rPr>
        <w:tab/>
      </w:r>
      <w:r>
        <w:rPr>
          <w:sz w:val="22"/>
          <w:szCs w:val="22"/>
        </w:rPr>
        <w:tab/>
      </w:r>
      <w:r w:rsidR="000B1B16">
        <w:rPr>
          <w:sz w:val="22"/>
          <w:szCs w:val="22"/>
        </w:rPr>
        <w:tab/>
      </w:r>
      <w:r>
        <w:rPr>
          <w:sz w:val="22"/>
          <w:szCs w:val="22"/>
        </w:rPr>
        <w:t>630 210 1631</w:t>
      </w:r>
    </w:p>
    <w:p w14:paraId="492D1770" w14:textId="77777777" w:rsidR="00BE106D" w:rsidRDefault="00BE106D" w:rsidP="0044359D">
      <w:pPr>
        <w:tabs>
          <w:tab w:val="left" w:pos="4680"/>
        </w:tabs>
        <w:spacing w:after="0" w:line="240" w:lineRule="auto"/>
        <w:jc w:val="center"/>
        <w:rPr>
          <w:sz w:val="22"/>
          <w:szCs w:val="22"/>
        </w:rPr>
      </w:pPr>
    </w:p>
    <w:p w14:paraId="7B690D48" w14:textId="77777777" w:rsidR="00015A77" w:rsidRDefault="00015A77" w:rsidP="00C57648">
      <w:pPr>
        <w:spacing w:after="0" w:line="240" w:lineRule="auto"/>
        <w:jc w:val="center"/>
        <w:rPr>
          <w:b/>
          <w:bCs/>
          <w:sz w:val="28"/>
          <w:szCs w:val="28"/>
        </w:rPr>
      </w:pPr>
    </w:p>
    <w:p w14:paraId="0B99E554" w14:textId="14437841" w:rsidR="00C57648" w:rsidRDefault="0044359D" w:rsidP="00C57648">
      <w:pPr>
        <w:spacing w:after="0" w:line="240" w:lineRule="auto"/>
        <w:jc w:val="center"/>
        <w:rPr>
          <w:b/>
          <w:bCs/>
          <w:sz w:val="28"/>
          <w:szCs w:val="28"/>
        </w:rPr>
      </w:pPr>
      <w:r w:rsidRPr="0044359D">
        <w:rPr>
          <w:b/>
          <w:bCs/>
          <w:sz w:val="28"/>
          <w:szCs w:val="28"/>
        </w:rPr>
        <w:t>Ken Chapman &amp; Associates Launches New HR Services to Provide Strategic HR Leadership for Enterprise Excellence</w:t>
      </w:r>
    </w:p>
    <w:p w14:paraId="2D753562" w14:textId="4CC062C4" w:rsidR="0044359D" w:rsidRDefault="0044359D" w:rsidP="00C57648">
      <w:pPr>
        <w:spacing w:after="0" w:line="240" w:lineRule="auto"/>
        <w:jc w:val="center"/>
        <w:rPr>
          <w:i/>
          <w:iCs/>
        </w:rPr>
      </w:pPr>
      <w:r w:rsidRPr="0044359D">
        <w:rPr>
          <w:b/>
          <w:bCs/>
          <w:sz w:val="28"/>
          <w:szCs w:val="28"/>
        </w:rPr>
        <w:br/>
      </w:r>
      <w:r w:rsidRPr="0044359D">
        <w:rPr>
          <w:i/>
          <w:iCs/>
        </w:rPr>
        <w:t>New Offering Acts as a Strategic Business Partner to Build Internal HR and Leadership Capability</w:t>
      </w:r>
      <w:r w:rsidR="0057451C">
        <w:rPr>
          <w:i/>
          <w:iCs/>
        </w:rPr>
        <w:t xml:space="preserve"> --</w:t>
      </w:r>
      <w:r w:rsidRPr="0044359D">
        <w:rPr>
          <w:i/>
          <w:iCs/>
        </w:rPr>
        <w:t>Not to Replace Internal HR Administration</w:t>
      </w:r>
    </w:p>
    <w:p w14:paraId="7E379724" w14:textId="77777777" w:rsidR="006A6E61" w:rsidRDefault="006A6E61" w:rsidP="00C57648">
      <w:pPr>
        <w:spacing w:after="0" w:line="240" w:lineRule="auto"/>
        <w:jc w:val="center"/>
        <w:rPr>
          <w:i/>
          <w:iCs/>
        </w:rPr>
      </w:pPr>
    </w:p>
    <w:p w14:paraId="048DC1E7" w14:textId="535B00B7" w:rsidR="0044359D" w:rsidRDefault="0044359D" w:rsidP="0044359D">
      <w:pPr>
        <w:spacing w:after="0" w:line="360" w:lineRule="auto"/>
        <w:rPr>
          <w:sz w:val="22"/>
          <w:szCs w:val="22"/>
        </w:rPr>
      </w:pPr>
      <w:r w:rsidRPr="0044359D">
        <w:rPr>
          <w:sz w:val="22"/>
          <w:szCs w:val="22"/>
        </w:rPr>
        <w:t xml:space="preserve">Tuscaloosa, AL — January </w:t>
      </w:r>
      <w:r w:rsidR="00015A77">
        <w:rPr>
          <w:sz w:val="22"/>
          <w:szCs w:val="22"/>
        </w:rPr>
        <w:t>21</w:t>
      </w:r>
      <w:r w:rsidRPr="0044359D">
        <w:rPr>
          <w:sz w:val="22"/>
          <w:szCs w:val="22"/>
        </w:rPr>
        <w:t>, 2026 — Ken Chapman &amp; Associates, Inc. (KC&amp;A), a trusted human</w:t>
      </w:r>
      <w:r w:rsidR="009E338C">
        <w:rPr>
          <w:sz w:val="22"/>
          <w:szCs w:val="22"/>
        </w:rPr>
        <w:t xml:space="preserve"> capital</w:t>
      </w:r>
      <w:r w:rsidRPr="0044359D">
        <w:rPr>
          <w:sz w:val="22"/>
          <w:szCs w:val="22"/>
        </w:rPr>
        <w:t xml:space="preserve"> consulting firm, today announced the launch of its new HR Services, designed to provide enterprise organizations with senior-level HR leadership expertise that strengthens internal capability during periods of expansion, growth or business change.</w:t>
      </w:r>
    </w:p>
    <w:p w14:paraId="51466198" w14:textId="77777777" w:rsidR="0044359D" w:rsidRPr="0044359D" w:rsidRDefault="0044359D" w:rsidP="0044359D">
      <w:pPr>
        <w:spacing w:after="0" w:line="360" w:lineRule="auto"/>
        <w:rPr>
          <w:sz w:val="22"/>
          <w:szCs w:val="22"/>
        </w:rPr>
      </w:pPr>
    </w:p>
    <w:p w14:paraId="4D547177" w14:textId="3FACE0E8" w:rsidR="0044359D" w:rsidRDefault="0044359D" w:rsidP="0044359D">
      <w:pPr>
        <w:spacing w:after="0" w:line="360" w:lineRule="auto"/>
        <w:rPr>
          <w:sz w:val="22"/>
          <w:szCs w:val="22"/>
        </w:rPr>
      </w:pPr>
      <w:r w:rsidRPr="0044359D">
        <w:rPr>
          <w:sz w:val="22"/>
          <w:szCs w:val="22"/>
        </w:rPr>
        <w:t>In many operations-driven organizations, HR responsibilities often fall to plant managers, controllers or operations leaders whose expertise lies</w:t>
      </w:r>
      <w:r w:rsidR="00996E59">
        <w:rPr>
          <w:sz w:val="22"/>
          <w:szCs w:val="22"/>
        </w:rPr>
        <w:t xml:space="preserve"> </w:t>
      </w:r>
      <w:r w:rsidR="00996E59" w:rsidRPr="00565D7E">
        <w:rPr>
          <w:sz w:val="22"/>
          <w:szCs w:val="22"/>
        </w:rPr>
        <w:t>outside of human resources.</w:t>
      </w:r>
      <w:r w:rsidRPr="00565D7E">
        <w:rPr>
          <w:sz w:val="22"/>
          <w:szCs w:val="22"/>
        </w:rPr>
        <w:t xml:space="preserve"> </w:t>
      </w:r>
      <w:r w:rsidRPr="0044359D">
        <w:rPr>
          <w:sz w:val="22"/>
          <w:szCs w:val="22"/>
        </w:rPr>
        <w:t>While well-intentioned, this approach can lead to inconsistent people practices, elevated compliance risk, leadership gaps and avoidable turnover</w:t>
      </w:r>
      <w:r w:rsidR="0075770B">
        <w:rPr>
          <w:sz w:val="22"/>
          <w:szCs w:val="22"/>
        </w:rPr>
        <w:t xml:space="preserve">, </w:t>
      </w:r>
      <w:r w:rsidRPr="0044359D">
        <w:rPr>
          <w:sz w:val="22"/>
          <w:szCs w:val="22"/>
        </w:rPr>
        <w:t>all of which directly impact safety, quality output</w:t>
      </w:r>
      <w:r w:rsidR="00996E59">
        <w:rPr>
          <w:sz w:val="22"/>
          <w:szCs w:val="22"/>
        </w:rPr>
        <w:t>,</w:t>
      </w:r>
      <w:r w:rsidRPr="0044359D">
        <w:rPr>
          <w:sz w:val="22"/>
          <w:szCs w:val="22"/>
        </w:rPr>
        <w:t xml:space="preserve"> workforce stability</w:t>
      </w:r>
      <w:r w:rsidR="00996E59">
        <w:rPr>
          <w:sz w:val="22"/>
          <w:szCs w:val="22"/>
        </w:rPr>
        <w:t>, and ultimately profitability</w:t>
      </w:r>
      <w:r w:rsidRPr="0044359D">
        <w:rPr>
          <w:sz w:val="22"/>
          <w:szCs w:val="22"/>
        </w:rPr>
        <w:t xml:space="preserve">. KC&amp;A’s HR Services are built to address this challenge by serving as a strategic HR business partner, </w:t>
      </w:r>
      <w:r w:rsidR="00C9778E" w:rsidRPr="0044359D">
        <w:rPr>
          <w:sz w:val="22"/>
          <w:szCs w:val="22"/>
        </w:rPr>
        <w:t>collaborating with</w:t>
      </w:r>
      <w:r w:rsidRPr="0044359D">
        <w:rPr>
          <w:sz w:val="22"/>
          <w:szCs w:val="22"/>
        </w:rPr>
        <w:t xml:space="preserve"> internal teams to align workforce strategy with operational and organizational goals.</w:t>
      </w:r>
    </w:p>
    <w:p w14:paraId="6912D119" w14:textId="77777777" w:rsidR="0044359D" w:rsidRPr="0044359D" w:rsidRDefault="0044359D" w:rsidP="0044359D">
      <w:pPr>
        <w:spacing w:after="0" w:line="360" w:lineRule="auto"/>
        <w:rPr>
          <w:sz w:val="22"/>
          <w:szCs w:val="22"/>
        </w:rPr>
      </w:pPr>
    </w:p>
    <w:p w14:paraId="3B91C510" w14:textId="69F895C2" w:rsidR="0044359D" w:rsidRDefault="0044359D" w:rsidP="0044359D">
      <w:pPr>
        <w:spacing w:after="0" w:line="360" w:lineRule="auto"/>
        <w:rPr>
          <w:sz w:val="22"/>
          <w:szCs w:val="22"/>
        </w:rPr>
      </w:pPr>
      <w:r w:rsidRPr="0044359D">
        <w:rPr>
          <w:sz w:val="22"/>
          <w:szCs w:val="22"/>
        </w:rPr>
        <w:t>“Many organizations reach a point where HR decisions carry real operational and financial consequences, but they don’t yet have an HR executive at the table,” said Kim McNany, senior consultant at KC&amp;A. “</w:t>
      </w:r>
      <w:r w:rsidR="00C9513D">
        <w:rPr>
          <w:sz w:val="22"/>
          <w:szCs w:val="22"/>
        </w:rPr>
        <w:t xml:space="preserve">Our </w:t>
      </w:r>
      <w:r w:rsidRPr="0044359D">
        <w:rPr>
          <w:sz w:val="22"/>
          <w:szCs w:val="22"/>
        </w:rPr>
        <w:t>HR Services are designed to close that gap. We partner with plant and operational leaders to build disciplined, intentional people systems</w:t>
      </w:r>
      <w:r w:rsidR="00C9513D">
        <w:rPr>
          <w:sz w:val="22"/>
          <w:szCs w:val="22"/>
        </w:rPr>
        <w:t xml:space="preserve"> that equip</w:t>
      </w:r>
      <w:r w:rsidRPr="0044359D">
        <w:rPr>
          <w:sz w:val="22"/>
          <w:szCs w:val="22"/>
        </w:rPr>
        <w:t xml:space="preserve"> organizations to move from reactive HR decisions toward </w:t>
      </w:r>
      <w:r w:rsidRPr="0044359D">
        <w:rPr>
          <w:sz w:val="22"/>
          <w:szCs w:val="22"/>
        </w:rPr>
        <w:lastRenderedPageBreak/>
        <w:t>sustainable internal capability</w:t>
      </w:r>
      <w:r w:rsidR="00047333">
        <w:rPr>
          <w:sz w:val="22"/>
          <w:szCs w:val="22"/>
        </w:rPr>
        <w:t>. This</w:t>
      </w:r>
      <w:r w:rsidRPr="0044359D">
        <w:rPr>
          <w:sz w:val="22"/>
          <w:szCs w:val="22"/>
        </w:rPr>
        <w:t xml:space="preserve"> strengthens performance and supports a culture where teams can operate safely, consistently and at their best.”</w:t>
      </w:r>
    </w:p>
    <w:p w14:paraId="3C306582" w14:textId="77777777" w:rsidR="0044359D" w:rsidRPr="0044359D" w:rsidRDefault="0044359D" w:rsidP="0044359D">
      <w:pPr>
        <w:spacing w:after="0" w:line="360" w:lineRule="auto"/>
        <w:rPr>
          <w:sz w:val="22"/>
          <w:szCs w:val="22"/>
        </w:rPr>
      </w:pPr>
    </w:p>
    <w:p w14:paraId="6241C0B1" w14:textId="232E1C2B" w:rsidR="0044359D" w:rsidRDefault="0044359D" w:rsidP="0044359D">
      <w:pPr>
        <w:spacing w:after="0" w:line="360" w:lineRule="auto"/>
        <w:rPr>
          <w:sz w:val="22"/>
          <w:szCs w:val="22"/>
        </w:rPr>
      </w:pPr>
      <w:r w:rsidRPr="0044359D">
        <w:rPr>
          <w:sz w:val="22"/>
          <w:szCs w:val="22"/>
        </w:rPr>
        <w:t>As workforce complexity increases</w:t>
      </w:r>
      <w:r w:rsidR="007F114A">
        <w:rPr>
          <w:sz w:val="22"/>
          <w:szCs w:val="22"/>
        </w:rPr>
        <w:t xml:space="preserve"> -- </w:t>
      </w:r>
      <w:r w:rsidRPr="0044359D">
        <w:rPr>
          <w:sz w:val="22"/>
          <w:szCs w:val="22"/>
        </w:rPr>
        <w:t>driven by regulatory pressure, talent scarcity, safety considerations and evolving employee expectations</w:t>
      </w:r>
      <w:r w:rsidR="007F114A">
        <w:rPr>
          <w:sz w:val="22"/>
          <w:szCs w:val="22"/>
        </w:rPr>
        <w:t xml:space="preserve"> -- </w:t>
      </w:r>
      <w:r w:rsidRPr="0044359D">
        <w:rPr>
          <w:sz w:val="22"/>
          <w:szCs w:val="22"/>
        </w:rPr>
        <w:t xml:space="preserve">access to experienced HR leadership has become a business necessity. Industry research from </w:t>
      </w:r>
      <w:hyperlink r:id="rId11" w:history="1">
        <w:r w:rsidR="00CB1C01" w:rsidRPr="003C27CF">
          <w:rPr>
            <w:rStyle w:val="Hyperlink"/>
            <w:sz w:val="22"/>
            <w:szCs w:val="22"/>
          </w:rPr>
          <w:t>UKG and HR.com</w:t>
        </w:r>
      </w:hyperlink>
      <w:r w:rsidR="00CB1C01">
        <w:t xml:space="preserve"> </w:t>
      </w:r>
      <w:r w:rsidRPr="0044359D">
        <w:rPr>
          <w:sz w:val="22"/>
          <w:szCs w:val="22"/>
        </w:rPr>
        <w:t>shows that organizations lacking strategic HR leadership are significantly more likely to struggle with retention, leadership development and compliance readiness, particularly in labor-intensive and operational environments.</w:t>
      </w:r>
    </w:p>
    <w:p w14:paraId="17F16363" w14:textId="77777777" w:rsidR="0044359D" w:rsidRPr="0044359D" w:rsidRDefault="0044359D" w:rsidP="0044359D">
      <w:pPr>
        <w:spacing w:after="0" w:line="360" w:lineRule="auto"/>
        <w:rPr>
          <w:sz w:val="22"/>
          <w:szCs w:val="22"/>
        </w:rPr>
      </w:pPr>
    </w:p>
    <w:p w14:paraId="0F8A23E4" w14:textId="1E9C4AB0" w:rsidR="0044359D" w:rsidRDefault="0044359D" w:rsidP="0044359D">
      <w:pPr>
        <w:spacing w:after="0" w:line="360" w:lineRule="auto"/>
        <w:rPr>
          <w:sz w:val="22"/>
          <w:szCs w:val="22"/>
        </w:rPr>
      </w:pPr>
      <w:r w:rsidRPr="0044359D">
        <w:rPr>
          <w:sz w:val="22"/>
          <w:szCs w:val="22"/>
        </w:rPr>
        <w:t xml:space="preserve">According to </w:t>
      </w:r>
      <w:hyperlink r:id="rId12" w:history="1">
        <w:r w:rsidR="00D425D5" w:rsidRPr="00CA1197">
          <w:rPr>
            <w:rStyle w:val="Hyperlink"/>
            <w:sz w:val="22"/>
            <w:szCs w:val="22"/>
          </w:rPr>
          <w:t>SHRM</w:t>
        </w:r>
      </w:hyperlink>
      <w:r w:rsidRPr="0044359D">
        <w:rPr>
          <w:sz w:val="22"/>
          <w:szCs w:val="22"/>
        </w:rPr>
        <w:t xml:space="preserve">, voluntary employee turnover can cost organizations six to nine months of an employee’s salary per departure, while </w:t>
      </w:r>
      <w:hyperlink r:id="rId13" w:history="1">
        <w:r w:rsidR="00AE4A3D" w:rsidRPr="00245B73">
          <w:rPr>
            <w:rStyle w:val="Hyperlink"/>
            <w:sz w:val="22"/>
            <w:szCs w:val="22"/>
          </w:rPr>
          <w:t>Gallup</w:t>
        </w:r>
      </w:hyperlink>
      <w:r w:rsidRPr="0044359D">
        <w:rPr>
          <w:sz w:val="22"/>
          <w:szCs w:val="22"/>
        </w:rPr>
        <w:t xml:space="preserve"> reports that disengaged teams cost U.S. organizations hundreds of billions of dollars annually in lost productivity. These risks are amplified in operational and manufacturing environments where leadership consistency, workforce stability and compliance are tightly linked to performance and safety outcomes.</w:t>
      </w:r>
    </w:p>
    <w:p w14:paraId="6D2B9D07" w14:textId="77777777" w:rsidR="0044359D" w:rsidRPr="0044359D" w:rsidRDefault="0044359D" w:rsidP="0044359D">
      <w:pPr>
        <w:spacing w:after="0" w:line="360" w:lineRule="auto"/>
        <w:rPr>
          <w:sz w:val="22"/>
          <w:szCs w:val="22"/>
        </w:rPr>
      </w:pPr>
    </w:p>
    <w:p w14:paraId="418F9049" w14:textId="77777777" w:rsidR="0044359D" w:rsidRPr="0044359D" w:rsidRDefault="0044359D" w:rsidP="0044359D">
      <w:pPr>
        <w:spacing w:after="0" w:line="360" w:lineRule="auto"/>
        <w:rPr>
          <w:b/>
          <w:bCs/>
          <w:sz w:val="22"/>
          <w:szCs w:val="22"/>
        </w:rPr>
      </w:pPr>
      <w:r w:rsidRPr="0044359D">
        <w:rPr>
          <w:b/>
          <w:bCs/>
          <w:sz w:val="22"/>
          <w:szCs w:val="22"/>
        </w:rPr>
        <w:t>Strategic HR Leadership—Not Tactical Execution</w:t>
      </w:r>
    </w:p>
    <w:p w14:paraId="3B9F0BAC" w14:textId="3903E2E3" w:rsidR="0044359D" w:rsidRDefault="0044359D" w:rsidP="0044359D">
      <w:pPr>
        <w:spacing w:after="0" w:line="360" w:lineRule="auto"/>
        <w:rPr>
          <w:sz w:val="22"/>
          <w:szCs w:val="22"/>
        </w:rPr>
      </w:pPr>
      <w:r w:rsidRPr="0044359D">
        <w:rPr>
          <w:sz w:val="22"/>
          <w:szCs w:val="22"/>
        </w:rPr>
        <w:t>According to McNany, KC&amp;A’s HR Services emphasize building internal capability through a strategic, advisory model designed to strengthen people systems and leadership effectiveness</w:t>
      </w:r>
      <w:r w:rsidR="002841A9">
        <w:rPr>
          <w:sz w:val="22"/>
          <w:szCs w:val="22"/>
        </w:rPr>
        <w:t xml:space="preserve">, </w:t>
      </w:r>
      <w:r w:rsidRPr="0044359D">
        <w:rPr>
          <w:sz w:val="22"/>
          <w:szCs w:val="22"/>
        </w:rPr>
        <w:t>not to replace internal HR administration or day-to-day execution.</w:t>
      </w:r>
    </w:p>
    <w:p w14:paraId="0E677DD9" w14:textId="77777777" w:rsidR="0044359D" w:rsidRPr="0044359D" w:rsidRDefault="0044359D" w:rsidP="0044359D">
      <w:pPr>
        <w:spacing w:after="0" w:line="360" w:lineRule="auto"/>
        <w:rPr>
          <w:sz w:val="22"/>
          <w:szCs w:val="22"/>
        </w:rPr>
      </w:pPr>
    </w:p>
    <w:p w14:paraId="5F8FA671" w14:textId="5485331C" w:rsidR="0044359D" w:rsidRPr="0044359D" w:rsidRDefault="0044359D" w:rsidP="0044359D">
      <w:pPr>
        <w:spacing w:after="0" w:line="360" w:lineRule="auto"/>
        <w:rPr>
          <w:sz w:val="22"/>
          <w:szCs w:val="22"/>
        </w:rPr>
      </w:pPr>
      <w:r w:rsidRPr="0044359D">
        <w:rPr>
          <w:sz w:val="22"/>
          <w:szCs w:val="22"/>
        </w:rPr>
        <w:t>KC&amp;A’s HR Services go beyond administrative HR support. The new services embed senior HR expertise into the business as an advisor and partner, working directly with executive and operations leadership to strengthen internal people systems that support performance, accountability and growth.</w:t>
      </w:r>
    </w:p>
    <w:p w14:paraId="38669515" w14:textId="77777777" w:rsidR="00EA6D08" w:rsidRDefault="00EA6D08" w:rsidP="00EA6D08">
      <w:pPr>
        <w:spacing w:after="0" w:line="360" w:lineRule="auto"/>
        <w:rPr>
          <w:sz w:val="22"/>
          <w:szCs w:val="22"/>
        </w:rPr>
      </w:pPr>
    </w:p>
    <w:p w14:paraId="48E57F26" w14:textId="19E9C63B" w:rsidR="00EA6D08" w:rsidRPr="00BE106D" w:rsidRDefault="00EA6D08" w:rsidP="00EA6D08">
      <w:pPr>
        <w:spacing w:after="0" w:line="360" w:lineRule="auto"/>
        <w:rPr>
          <w:sz w:val="22"/>
          <w:szCs w:val="22"/>
        </w:rPr>
      </w:pPr>
      <w:r w:rsidRPr="00BE106D">
        <w:rPr>
          <w:sz w:val="22"/>
          <w:szCs w:val="22"/>
        </w:rPr>
        <w:t>Core areas of engagement include:</w:t>
      </w:r>
    </w:p>
    <w:p w14:paraId="274BACFF" w14:textId="77777777" w:rsidR="00EA6D08" w:rsidRPr="00BE106D" w:rsidRDefault="00EA6D08" w:rsidP="00EA6D08">
      <w:pPr>
        <w:numPr>
          <w:ilvl w:val="0"/>
          <w:numId w:val="5"/>
        </w:numPr>
        <w:spacing w:after="0" w:line="240" w:lineRule="auto"/>
        <w:rPr>
          <w:sz w:val="22"/>
          <w:szCs w:val="22"/>
        </w:rPr>
      </w:pPr>
      <w:r w:rsidRPr="00BE106D">
        <w:rPr>
          <w:sz w:val="22"/>
          <w:szCs w:val="22"/>
        </w:rPr>
        <w:t>HR Strategy &amp; Infrastructure Development — Design compliant, scalable people systems aligned with business objectives.</w:t>
      </w:r>
    </w:p>
    <w:p w14:paraId="1D388476" w14:textId="77777777" w:rsidR="00EA6D08" w:rsidRPr="00BE106D" w:rsidRDefault="00EA6D08" w:rsidP="00EA6D08">
      <w:pPr>
        <w:numPr>
          <w:ilvl w:val="0"/>
          <w:numId w:val="5"/>
        </w:numPr>
        <w:spacing w:after="0" w:line="240" w:lineRule="auto"/>
        <w:rPr>
          <w:sz w:val="22"/>
          <w:szCs w:val="22"/>
        </w:rPr>
      </w:pPr>
      <w:r w:rsidRPr="00BE106D">
        <w:rPr>
          <w:sz w:val="22"/>
          <w:szCs w:val="22"/>
        </w:rPr>
        <w:t>Organizational Design &amp; Workforce Planning — Clarify roles, strengthen accountability, and prepare the organization for growth and succession.</w:t>
      </w:r>
    </w:p>
    <w:p w14:paraId="1C3E63D5" w14:textId="77777777" w:rsidR="00EA6D08" w:rsidRPr="00BE106D" w:rsidRDefault="00EA6D08" w:rsidP="00EA6D08">
      <w:pPr>
        <w:numPr>
          <w:ilvl w:val="0"/>
          <w:numId w:val="5"/>
        </w:numPr>
        <w:spacing w:after="0" w:line="240" w:lineRule="auto"/>
        <w:rPr>
          <w:sz w:val="22"/>
          <w:szCs w:val="22"/>
        </w:rPr>
      </w:pPr>
      <w:r w:rsidRPr="00BE106D">
        <w:rPr>
          <w:sz w:val="22"/>
          <w:szCs w:val="22"/>
        </w:rPr>
        <w:t>Leadership &amp; Supervisor Development — Equip leaders at every level with the skills to lead effectively in high-demand operational environments.</w:t>
      </w:r>
    </w:p>
    <w:p w14:paraId="2088A85D" w14:textId="28681917" w:rsidR="00EA6D08" w:rsidRPr="00BE106D" w:rsidRDefault="00EA6D08" w:rsidP="00EA6D08">
      <w:pPr>
        <w:numPr>
          <w:ilvl w:val="0"/>
          <w:numId w:val="5"/>
        </w:numPr>
        <w:spacing w:after="0" w:line="240" w:lineRule="auto"/>
        <w:rPr>
          <w:sz w:val="22"/>
          <w:szCs w:val="22"/>
        </w:rPr>
      </w:pPr>
      <w:r w:rsidRPr="00BE106D">
        <w:rPr>
          <w:sz w:val="22"/>
          <w:szCs w:val="22"/>
        </w:rPr>
        <w:t>Employee Relations &amp; Risk Mitigation — Navigate complex workforce issues with consistency, discretion and strategic clarity.</w:t>
      </w:r>
    </w:p>
    <w:p w14:paraId="35AFC44A" w14:textId="77777777" w:rsidR="00EA6D08" w:rsidRPr="00BE106D" w:rsidRDefault="00EA6D08" w:rsidP="00EA6D08">
      <w:pPr>
        <w:numPr>
          <w:ilvl w:val="0"/>
          <w:numId w:val="5"/>
        </w:numPr>
        <w:spacing w:after="0" w:line="240" w:lineRule="auto"/>
        <w:rPr>
          <w:sz w:val="22"/>
          <w:szCs w:val="22"/>
        </w:rPr>
      </w:pPr>
      <w:r w:rsidRPr="00BE106D">
        <w:rPr>
          <w:sz w:val="22"/>
          <w:szCs w:val="22"/>
        </w:rPr>
        <w:t>Retention &amp; Turnover Analysis — Identify root causes of attrition and implement data-informed solutions.</w:t>
      </w:r>
    </w:p>
    <w:p w14:paraId="330A0FD1" w14:textId="77777777" w:rsidR="00EA6D08" w:rsidRDefault="00EA6D08" w:rsidP="00EA6D08">
      <w:pPr>
        <w:numPr>
          <w:ilvl w:val="0"/>
          <w:numId w:val="5"/>
        </w:numPr>
        <w:spacing w:after="0" w:line="240" w:lineRule="auto"/>
        <w:rPr>
          <w:sz w:val="22"/>
          <w:szCs w:val="22"/>
        </w:rPr>
      </w:pPr>
      <w:r w:rsidRPr="00BE106D">
        <w:rPr>
          <w:sz w:val="22"/>
          <w:szCs w:val="22"/>
        </w:rPr>
        <w:t>Onboarding &amp; Performance Enablement — Build role-specific onboarding systems that accelerate productivity and reinforce expectations from day one.</w:t>
      </w:r>
    </w:p>
    <w:p w14:paraId="504737A7" w14:textId="4EE57059" w:rsidR="0044359D" w:rsidRDefault="0044359D" w:rsidP="0044359D">
      <w:pPr>
        <w:spacing w:after="0" w:line="360" w:lineRule="auto"/>
        <w:rPr>
          <w:sz w:val="22"/>
          <w:szCs w:val="22"/>
        </w:rPr>
      </w:pPr>
      <w:r w:rsidRPr="0044359D">
        <w:rPr>
          <w:sz w:val="22"/>
          <w:szCs w:val="22"/>
        </w:rPr>
        <w:lastRenderedPageBreak/>
        <w:t>McNany emphasized that the service is advisory in nature, not transactional. “This isn’t about outsourcing tasks,” she said. “It’s about helping leaders and internal teams make better decisions</w:t>
      </w:r>
      <w:r w:rsidR="00744F71">
        <w:rPr>
          <w:sz w:val="22"/>
          <w:szCs w:val="22"/>
        </w:rPr>
        <w:t xml:space="preserve"> </w:t>
      </w:r>
      <w:r w:rsidRPr="0044359D">
        <w:rPr>
          <w:sz w:val="22"/>
          <w:szCs w:val="22"/>
        </w:rPr>
        <w:t>whether that’s structuring teams, developing supervisors, addressing risk or creating people systems that actually work in the real world of manufacturing and operations.”</w:t>
      </w:r>
    </w:p>
    <w:p w14:paraId="7FD007B3" w14:textId="77777777" w:rsidR="00EA6D08" w:rsidRPr="0044359D" w:rsidRDefault="00EA6D08" w:rsidP="0044359D">
      <w:pPr>
        <w:spacing w:after="0" w:line="360" w:lineRule="auto"/>
        <w:rPr>
          <w:sz w:val="22"/>
          <w:szCs w:val="22"/>
        </w:rPr>
      </w:pPr>
    </w:p>
    <w:p w14:paraId="572EF37C" w14:textId="77777777" w:rsidR="0044359D" w:rsidRPr="0044359D" w:rsidRDefault="0044359D" w:rsidP="0044359D">
      <w:pPr>
        <w:spacing w:after="0" w:line="360" w:lineRule="auto"/>
        <w:rPr>
          <w:b/>
          <w:bCs/>
          <w:sz w:val="22"/>
          <w:szCs w:val="22"/>
        </w:rPr>
      </w:pPr>
      <w:r w:rsidRPr="0044359D">
        <w:rPr>
          <w:b/>
          <w:bCs/>
          <w:sz w:val="22"/>
          <w:szCs w:val="22"/>
        </w:rPr>
        <w:t>Supporting Enterprise Leaders in a Changing Workforce Environment</w:t>
      </w:r>
    </w:p>
    <w:p w14:paraId="3F3FB284" w14:textId="4044372B" w:rsidR="0044359D" w:rsidRDefault="0044359D" w:rsidP="0044359D">
      <w:pPr>
        <w:spacing w:after="0" w:line="360" w:lineRule="auto"/>
        <w:rPr>
          <w:sz w:val="22"/>
          <w:szCs w:val="22"/>
        </w:rPr>
      </w:pPr>
      <w:r w:rsidRPr="0044359D">
        <w:rPr>
          <w:sz w:val="22"/>
          <w:szCs w:val="22"/>
        </w:rPr>
        <w:t xml:space="preserve">The urgency for strategic HR leadership continues to grow. </w:t>
      </w:r>
      <w:hyperlink r:id="rId14" w:history="1">
        <w:r w:rsidR="00F346B3" w:rsidRPr="00502A9A">
          <w:rPr>
            <w:rStyle w:val="Hyperlink"/>
            <w:sz w:val="22"/>
            <w:szCs w:val="22"/>
          </w:rPr>
          <w:t>Gartner</w:t>
        </w:r>
      </w:hyperlink>
      <w:r w:rsidRPr="0044359D">
        <w:rPr>
          <w:sz w:val="22"/>
          <w:szCs w:val="22"/>
        </w:rPr>
        <w:t xml:space="preserve"> research has found that a majority of HR leaders believe their function is being asked to deliver greater strategic value than ever before, even as operational leaders shoulder HR responsibilities without formal training. In operations-heavy organizations, this disconnect often surfaces through inconsistent leadership practices, compliance exposure and stalled workforce initiatives.</w:t>
      </w:r>
    </w:p>
    <w:p w14:paraId="0C7F16AB" w14:textId="77777777" w:rsidR="00EA6D08" w:rsidRPr="0044359D" w:rsidRDefault="00EA6D08" w:rsidP="0044359D">
      <w:pPr>
        <w:spacing w:after="0" w:line="360" w:lineRule="auto"/>
        <w:rPr>
          <w:sz w:val="22"/>
          <w:szCs w:val="22"/>
        </w:rPr>
      </w:pPr>
    </w:p>
    <w:p w14:paraId="09B03CF6" w14:textId="5DB24073" w:rsidR="0044359D" w:rsidRDefault="0044359D" w:rsidP="0044359D">
      <w:pPr>
        <w:spacing w:after="0" w:line="360" w:lineRule="auto"/>
        <w:rPr>
          <w:sz w:val="22"/>
          <w:szCs w:val="22"/>
        </w:rPr>
      </w:pPr>
      <w:r w:rsidRPr="0044359D">
        <w:rPr>
          <w:sz w:val="22"/>
          <w:szCs w:val="22"/>
        </w:rPr>
        <w:t>“Strong people systems are good business systems,” said Dr. Ken Chapman, founder and CEO of KC&amp;A. “Our HR Services allow organizations to access senior-level HR leadership that strengthens their internal foundation</w:t>
      </w:r>
      <w:r w:rsidR="00585231">
        <w:rPr>
          <w:sz w:val="22"/>
          <w:szCs w:val="22"/>
        </w:rPr>
        <w:t xml:space="preserve"> </w:t>
      </w:r>
      <w:r w:rsidRPr="0044359D">
        <w:rPr>
          <w:sz w:val="22"/>
          <w:szCs w:val="22"/>
        </w:rPr>
        <w:t>without waiting for a crisis or committing to a full-time hire before the business is ready. It’s a proactive, strategic approach that helps leaders address workforce challenges while building long-term capability before issues impact safety, productivity or profitability.”</w:t>
      </w:r>
    </w:p>
    <w:p w14:paraId="339C40F2" w14:textId="77777777" w:rsidR="00EA6D08" w:rsidRPr="0044359D" w:rsidRDefault="00EA6D08" w:rsidP="0044359D">
      <w:pPr>
        <w:spacing w:after="0" w:line="360" w:lineRule="auto"/>
        <w:rPr>
          <w:sz w:val="22"/>
          <w:szCs w:val="22"/>
        </w:rPr>
      </w:pPr>
    </w:p>
    <w:p w14:paraId="4C9B830A" w14:textId="356DF32F" w:rsidR="008928DB" w:rsidRPr="008928DB" w:rsidRDefault="0044359D" w:rsidP="008928DB">
      <w:pPr>
        <w:spacing w:after="0" w:line="360" w:lineRule="auto"/>
        <w:rPr>
          <w:sz w:val="22"/>
          <w:szCs w:val="22"/>
        </w:rPr>
      </w:pPr>
      <w:r w:rsidRPr="0044359D">
        <w:rPr>
          <w:sz w:val="22"/>
          <w:szCs w:val="22"/>
        </w:rPr>
        <w:t>In closing, McNany noted that KC&amp;A’s HR Services are particularly well suited for enterprise organizations experiencing growth, operational strain, leadership transitio</w:t>
      </w:r>
      <w:r w:rsidR="00A0229B">
        <w:rPr>
          <w:sz w:val="22"/>
          <w:szCs w:val="22"/>
        </w:rPr>
        <w:t>n</w:t>
      </w:r>
      <w:r w:rsidRPr="0044359D">
        <w:rPr>
          <w:sz w:val="22"/>
          <w:szCs w:val="22"/>
        </w:rPr>
        <w:t xml:space="preserve"> or increasing regulatory complexity</w:t>
      </w:r>
      <w:r w:rsidR="008928DB">
        <w:rPr>
          <w:sz w:val="22"/>
          <w:szCs w:val="22"/>
        </w:rPr>
        <w:t xml:space="preserve">. </w:t>
      </w:r>
      <w:r w:rsidR="00147B03">
        <w:rPr>
          <w:sz w:val="22"/>
          <w:szCs w:val="22"/>
        </w:rPr>
        <w:t xml:space="preserve">“KC&amp;A works to </w:t>
      </w:r>
      <w:r w:rsidR="008928DB" w:rsidRPr="008928DB">
        <w:rPr>
          <w:sz w:val="22"/>
          <w:szCs w:val="22"/>
        </w:rPr>
        <w:t>transform workplace culture by developing leaders, strengthening people systems, and building environments around the key principles of trust, communication and accountability</w:t>
      </w:r>
      <w:r w:rsidR="00147B03">
        <w:rPr>
          <w:sz w:val="22"/>
          <w:szCs w:val="22"/>
        </w:rPr>
        <w:t>,</w:t>
      </w:r>
      <w:r w:rsidR="00BC02B0">
        <w:rPr>
          <w:sz w:val="22"/>
          <w:szCs w:val="22"/>
        </w:rPr>
        <w:t>”</w:t>
      </w:r>
      <w:r w:rsidR="00147B03">
        <w:rPr>
          <w:sz w:val="22"/>
          <w:szCs w:val="22"/>
        </w:rPr>
        <w:t xml:space="preserve"> she said</w:t>
      </w:r>
      <w:r w:rsidR="008928DB" w:rsidRPr="008928DB">
        <w:rPr>
          <w:sz w:val="22"/>
          <w:szCs w:val="22"/>
        </w:rPr>
        <w:t xml:space="preserve">. </w:t>
      </w:r>
      <w:r w:rsidR="00147B03">
        <w:rPr>
          <w:sz w:val="22"/>
          <w:szCs w:val="22"/>
        </w:rPr>
        <w:t>“</w:t>
      </w:r>
      <w:r w:rsidR="00CA4867">
        <w:rPr>
          <w:sz w:val="22"/>
          <w:szCs w:val="22"/>
        </w:rPr>
        <w:t>I</w:t>
      </w:r>
      <w:r w:rsidR="00147B03">
        <w:rPr>
          <w:sz w:val="22"/>
          <w:szCs w:val="22"/>
        </w:rPr>
        <w:t xml:space="preserve">n short, </w:t>
      </w:r>
      <w:r w:rsidR="00CA4867">
        <w:rPr>
          <w:sz w:val="22"/>
          <w:szCs w:val="22"/>
        </w:rPr>
        <w:t xml:space="preserve">we want our </w:t>
      </w:r>
      <w:r w:rsidR="008928DB" w:rsidRPr="008928DB">
        <w:rPr>
          <w:sz w:val="22"/>
          <w:szCs w:val="22"/>
        </w:rPr>
        <w:t xml:space="preserve">work </w:t>
      </w:r>
      <w:r w:rsidR="00CA4867">
        <w:rPr>
          <w:sz w:val="22"/>
          <w:szCs w:val="22"/>
        </w:rPr>
        <w:t>to deliver</w:t>
      </w:r>
      <w:r w:rsidR="008928DB" w:rsidRPr="008928DB">
        <w:rPr>
          <w:sz w:val="22"/>
          <w:szCs w:val="22"/>
        </w:rPr>
        <w:t xml:space="preserve"> measurable impact for People, Profit, and More</w:t>
      </w:r>
      <w:r w:rsidR="00AF4DFA">
        <w:rPr>
          <w:sz w:val="22"/>
          <w:szCs w:val="22"/>
        </w:rPr>
        <w:t xml:space="preserve">. That’s </w:t>
      </w:r>
      <w:r w:rsidR="00714BB4">
        <w:rPr>
          <w:sz w:val="22"/>
          <w:szCs w:val="22"/>
        </w:rPr>
        <w:t>intrinsic</w:t>
      </w:r>
      <w:r w:rsidR="00AF4DFA">
        <w:rPr>
          <w:sz w:val="22"/>
          <w:szCs w:val="22"/>
        </w:rPr>
        <w:t xml:space="preserve"> in the new HR </w:t>
      </w:r>
      <w:r w:rsidR="00714BB4">
        <w:rPr>
          <w:sz w:val="22"/>
          <w:szCs w:val="22"/>
        </w:rPr>
        <w:t>S</w:t>
      </w:r>
      <w:r w:rsidR="00AF4DFA">
        <w:rPr>
          <w:sz w:val="22"/>
          <w:szCs w:val="22"/>
        </w:rPr>
        <w:t>ervices we are offering.”</w:t>
      </w:r>
    </w:p>
    <w:p w14:paraId="19476D49" w14:textId="77777777" w:rsidR="00072F36" w:rsidRPr="00BE106D" w:rsidRDefault="00072F36" w:rsidP="00BE106D">
      <w:pPr>
        <w:spacing w:after="0" w:line="360" w:lineRule="auto"/>
        <w:rPr>
          <w:sz w:val="22"/>
          <w:szCs w:val="22"/>
        </w:rPr>
      </w:pPr>
    </w:p>
    <w:p w14:paraId="01E9A61C" w14:textId="5E322B08" w:rsidR="001977AA" w:rsidRPr="00964475" w:rsidRDefault="0079461A" w:rsidP="0079461A">
      <w:pPr>
        <w:spacing w:after="0" w:line="360" w:lineRule="auto"/>
        <w:rPr>
          <w:sz w:val="22"/>
          <w:szCs w:val="22"/>
        </w:rPr>
      </w:pPr>
      <w:r w:rsidRPr="0079461A">
        <w:rPr>
          <w:b/>
          <w:bCs/>
          <w:sz w:val="22"/>
          <w:szCs w:val="22"/>
        </w:rPr>
        <w:t>About Ken Chapman &amp; Associates</w:t>
      </w:r>
      <w:r w:rsidRPr="0079461A">
        <w:rPr>
          <w:b/>
          <w:bCs/>
          <w:sz w:val="22"/>
          <w:szCs w:val="22"/>
        </w:rPr>
        <w:br/>
      </w:r>
      <w:r w:rsidRPr="0079461A">
        <w:rPr>
          <w:sz w:val="22"/>
          <w:szCs w:val="22"/>
        </w:rPr>
        <w:t>Ken Chapman &amp; Associates, Inc. is a strategic consulting firm serving organizations</w:t>
      </w:r>
      <w:r w:rsidR="009E338C">
        <w:rPr>
          <w:sz w:val="22"/>
          <w:szCs w:val="22"/>
        </w:rPr>
        <w:t xml:space="preserve"> throughout the United States and Canada</w:t>
      </w:r>
      <w:r w:rsidRPr="0079461A">
        <w:rPr>
          <w:sz w:val="22"/>
          <w:szCs w:val="22"/>
        </w:rPr>
        <w:t>. KC&amp;A partners with executive teams</w:t>
      </w:r>
      <w:r w:rsidR="009E338C">
        <w:rPr>
          <w:sz w:val="22"/>
          <w:szCs w:val="22"/>
        </w:rPr>
        <w:t xml:space="preserve"> to provide enterprise solutions that</w:t>
      </w:r>
      <w:r w:rsidRPr="0079461A">
        <w:rPr>
          <w:sz w:val="22"/>
          <w:szCs w:val="22"/>
        </w:rPr>
        <w:t xml:space="preserve"> strengthen people systems, develop effective leaders, and build workplace cultures grounded in trust, communication, and accountability. With deep expertise in workforce strategy, organizational design, and leadership development, the firm helps organizations reduce risk, improve performance, and align culture and talent with business strategy</w:t>
      </w:r>
      <w:r w:rsidR="003576F2">
        <w:rPr>
          <w:sz w:val="22"/>
          <w:szCs w:val="22"/>
        </w:rPr>
        <w:t xml:space="preserve"> to deliver</w:t>
      </w:r>
      <w:r w:rsidRPr="0079461A">
        <w:rPr>
          <w:sz w:val="22"/>
          <w:szCs w:val="22"/>
        </w:rPr>
        <w:t xml:space="preserve"> measurable impact for People, Profit, and More.</w:t>
      </w:r>
      <w:r w:rsidR="003576F2">
        <w:rPr>
          <w:sz w:val="22"/>
          <w:szCs w:val="22"/>
        </w:rPr>
        <w:t xml:space="preserve"> </w:t>
      </w:r>
      <w:r w:rsidR="000F4E96">
        <w:rPr>
          <w:sz w:val="22"/>
          <w:szCs w:val="22"/>
        </w:rPr>
        <w:t xml:space="preserve">Learn more </w:t>
      </w:r>
      <w:hyperlink r:id="rId15" w:history="1">
        <w:r w:rsidR="000F4E96" w:rsidRPr="00680867">
          <w:rPr>
            <w:rStyle w:val="Hyperlink"/>
            <w:sz w:val="22"/>
            <w:szCs w:val="22"/>
          </w:rPr>
          <w:t>here.</w:t>
        </w:r>
      </w:hyperlink>
    </w:p>
    <w:sectPr w:rsidR="001977AA" w:rsidRPr="00964475" w:rsidSect="008078BA">
      <w:footerReference w:type="default" r:id="rId16"/>
      <w:pgSz w:w="12240" w:h="15840"/>
      <w:pgMar w:top="1152"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BE554" w14:textId="77777777" w:rsidR="007759D0" w:rsidRDefault="007759D0" w:rsidP="009759DE">
      <w:pPr>
        <w:spacing w:after="0" w:line="240" w:lineRule="auto"/>
      </w:pPr>
      <w:r>
        <w:separator/>
      </w:r>
    </w:p>
  </w:endnote>
  <w:endnote w:type="continuationSeparator" w:id="0">
    <w:p w14:paraId="205E8700" w14:textId="77777777" w:rsidR="007759D0" w:rsidRDefault="007759D0" w:rsidP="00975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4267"/>
      <w:docPartObj>
        <w:docPartGallery w:val="Page Numbers (Bottom of Page)"/>
        <w:docPartUnique/>
      </w:docPartObj>
    </w:sdtPr>
    <w:sdtEndPr>
      <w:rPr>
        <w:noProof/>
      </w:rPr>
    </w:sdtEndPr>
    <w:sdtContent>
      <w:p w14:paraId="64C137EB" w14:textId="7C987810" w:rsidR="009759DE" w:rsidRDefault="009759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FDE49" w14:textId="77777777" w:rsidR="009759DE" w:rsidRDefault="00975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78250" w14:textId="77777777" w:rsidR="007759D0" w:rsidRDefault="007759D0" w:rsidP="009759DE">
      <w:pPr>
        <w:spacing w:after="0" w:line="240" w:lineRule="auto"/>
      </w:pPr>
      <w:r>
        <w:separator/>
      </w:r>
    </w:p>
  </w:footnote>
  <w:footnote w:type="continuationSeparator" w:id="0">
    <w:p w14:paraId="4A1942C0" w14:textId="77777777" w:rsidR="007759D0" w:rsidRDefault="007759D0" w:rsidP="009759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0584"/>
    <w:multiLevelType w:val="multilevel"/>
    <w:tmpl w:val="9C66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1E0C9E"/>
    <w:multiLevelType w:val="multilevel"/>
    <w:tmpl w:val="59BE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032085"/>
    <w:multiLevelType w:val="multilevel"/>
    <w:tmpl w:val="8884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3B4DE8"/>
    <w:multiLevelType w:val="hybridMultilevel"/>
    <w:tmpl w:val="F1784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D24C41"/>
    <w:multiLevelType w:val="hybridMultilevel"/>
    <w:tmpl w:val="32EE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05437C"/>
    <w:multiLevelType w:val="multilevel"/>
    <w:tmpl w:val="5BBA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2A5815"/>
    <w:multiLevelType w:val="hybridMultilevel"/>
    <w:tmpl w:val="A926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CE5078"/>
    <w:multiLevelType w:val="multilevel"/>
    <w:tmpl w:val="7DB4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70692">
    <w:abstractNumId w:val="1"/>
  </w:num>
  <w:num w:numId="2" w16cid:durableId="417095217">
    <w:abstractNumId w:val="5"/>
  </w:num>
  <w:num w:numId="3" w16cid:durableId="424110430">
    <w:abstractNumId w:val="2"/>
  </w:num>
  <w:num w:numId="4" w16cid:durableId="848102748">
    <w:abstractNumId w:val="7"/>
  </w:num>
  <w:num w:numId="5" w16cid:durableId="454906033">
    <w:abstractNumId w:val="0"/>
  </w:num>
  <w:num w:numId="6" w16cid:durableId="1368795794">
    <w:abstractNumId w:val="3"/>
  </w:num>
  <w:num w:numId="7" w16cid:durableId="1596746795">
    <w:abstractNumId w:val="6"/>
  </w:num>
  <w:num w:numId="8" w16cid:durableId="378672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278"/>
    <w:rsid w:val="000144DB"/>
    <w:rsid w:val="00015A77"/>
    <w:rsid w:val="00024B5C"/>
    <w:rsid w:val="00046825"/>
    <w:rsid w:val="0004732E"/>
    <w:rsid w:val="00047333"/>
    <w:rsid w:val="00072F36"/>
    <w:rsid w:val="00084F39"/>
    <w:rsid w:val="00087ED9"/>
    <w:rsid w:val="00093872"/>
    <w:rsid w:val="000B1B16"/>
    <w:rsid w:val="000B73A6"/>
    <w:rsid w:val="000C5EE8"/>
    <w:rsid w:val="000E3F01"/>
    <w:rsid w:val="000E5199"/>
    <w:rsid w:val="000F4E96"/>
    <w:rsid w:val="0010355C"/>
    <w:rsid w:val="00103DB7"/>
    <w:rsid w:val="00117337"/>
    <w:rsid w:val="00120710"/>
    <w:rsid w:val="0012116C"/>
    <w:rsid w:val="00125E8B"/>
    <w:rsid w:val="00126650"/>
    <w:rsid w:val="0013074A"/>
    <w:rsid w:val="0013089D"/>
    <w:rsid w:val="00130B61"/>
    <w:rsid w:val="00147B03"/>
    <w:rsid w:val="00157F5B"/>
    <w:rsid w:val="00161769"/>
    <w:rsid w:val="001726D4"/>
    <w:rsid w:val="00187766"/>
    <w:rsid w:val="00190824"/>
    <w:rsid w:val="001977AA"/>
    <w:rsid w:val="001A159F"/>
    <w:rsid w:val="001C265F"/>
    <w:rsid w:val="001C5027"/>
    <w:rsid w:val="001C7354"/>
    <w:rsid w:val="001E5942"/>
    <w:rsid w:val="00200692"/>
    <w:rsid w:val="00202EE3"/>
    <w:rsid w:val="00215AA0"/>
    <w:rsid w:val="00216BE7"/>
    <w:rsid w:val="00226582"/>
    <w:rsid w:val="00232246"/>
    <w:rsid w:val="00245B73"/>
    <w:rsid w:val="002563DD"/>
    <w:rsid w:val="00257C5F"/>
    <w:rsid w:val="00276772"/>
    <w:rsid w:val="002841A9"/>
    <w:rsid w:val="00284689"/>
    <w:rsid w:val="002902DE"/>
    <w:rsid w:val="002C1CBC"/>
    <w:rsid w:val="002C6F8A"/>
    <w:rsid w:val="002D490E"/>
    <w:rsid w:val="002E3B7A"/>
    <w:rsid w:val="002E71C0"/>
    <w:rsid w:val="002F3278"/>
    <w:rsid w:val="002F6253"/>
    <w:rsid w:val="002F6D79"/>
    <w:rsid w:val="00334192"/>
    <w:rsid w:val="00334EF8"/>
    <w:rsid w:val="00346CEF"/>
    <w:rsid w:val="00347799"/>
    <w:rsid w:val="003576F2"/>
    <w:rsid w:val="00372293"/>
    <w:rsid w:val="0038028C"/>
    <w:rsid w:val="00381272"/>
    <w:rsid w:val="00382996"/>
    <w:rsid w:val="00384431"/>
    <w:rsid w:val="00390815"/>
    <w:rsid w:val="003A10EE"/>
    <w:rsid w:val="003A3EDB"/>
    <w:rsid w:val="003A4984"/>
    <w:rsid w:val="003B1F45"/>
    <w:rsid w:val="003B5871"/>
    <w:rsid w:val="003B6709"/>
    <w:rsid w:val="003C0858"/>
    <w:rsid w:val="003C27CF"/>
    <w:rsid w:val="003C6ABE"/>
    <w:rsid w:val="003D6B75"/>
    <w:rsid w:val="003E0173"/>
    <w:rsid w:val="00404C74"/>
    <w:rsid w:val="004235FF"/>
    <w:rsid w:val="0042382C"/>
    <w:rsid w:val="00435D83"/>
    <w:rsid w:val="004419FB"/>
    <w:rsid w:val="00442F87"/>
    <w:rsid w:val="0044359D"/>
    <w:rsid w:val="00447542"/>
    <w:rsid w:val="00450200"/>
    <w:rsid w:val="004555E5"/>
    <w:rsid w:val="00470616"/>
    <w:rsid w:val="00484208"/>
    <w:rsid w:val="004930C1"/>
    <w:rsid w:val="004A4499"/>
    <w:rsid w:val="004A66BD"/>
    <w:rsid w:val="004B111E"/>
    <w:rsid w:val="004B61EE"/>
    <w:rsid w:val="004C12DD"/>
    <w:rsid w:val="004E44DF"/>
    <w:rsid w:val="004F34C0"/>
    <w:rsid w:val="00500B58"/>
    <w:rsid w:val="00502A9A"/>
    <w:rsid w:val="00511EB0"/>
    <w:rsid w:val="005350DE"/>
    <w:rsid w:val="00547789"/>
    <w:rsid w:val="00556A7A"/>
    <w:rsid w:val="0056444D"/>
    <w:rsid w:val="00565D7E"/>
    <w:rsid w:val="0057451C"/>
    <w:rsid w:val="0057720D"/>
    <w:rsid w:val="0058468C"/>
    <w:rsid w:val="00585231"/>
    <w:rsid w:val="005A15C4"/>
    <w:rsid w:val="005B2738"/>
    <w:rsid w:val="005B5355"/>
    <w:rsid w:val="005C27A6"/>
    <w:rsid w:val="005C745A"/>
    <w:rsid w:val="005D6C29"/>
    <w:rsid w:val="005E1A43"/>
    <w:rsid w:val="00601B42"/>
    <w:rsid w:val="00610595"/>
    <w:rsid w:val="00616217"/>
    <w:rsid w:val="00631082"/>
    <w:rsid w:val="0063239A"/>
    <w:rsid w:val="00636090"/>
    <w:rsid w:val="006425CE"/>
    <w:rsid w:val="00680867"/>
    <w:rsid w:val="006873B7"/>
    <w:rsid w:val="00687F51"/>
    <w:rsid w:val="006A41B3"/>
    <w:rsid w:val="006A45CC"/>
    <w:rsid w:val="006A6E61"/>
    <w:rsid w:val="006B31A4"/>
    <w:rsid w:val="006C167E"/>
    <w:rsid w:val="006D0267"/>
    <w:rsid w:val="006D4E5E"/>
    <w:rsid w:val="006D502E"/>
    <w:rsid w:val="006D5407"/>
    <w:rsid w:val="006D6BE2"/>
    <w:rsid w:val="006E0042"/>
    <w:rsid w:val="006F04C6"/>
    <w:rsid w:val="006F2269"/>
    <w:rsid w:val="006F5BC1"/>
    <w:rsid w:val="006F7189"/>
    <w:rsid w:val="00712DF7"/>
    <w:rsid w:val="00714BB4"/>
    <w:rsid w:val="00725BDA"/>
    <w:rsid w:val="00727BFA"/>
    <w:rsid w:val="00735863"/>
    <w:rsid w:val="00743485"/>
    <w:rsid w:val="00744F71"/>
    <w:rsid w:val="007519D8"/>
    <w:rsid w:val="0075770B"/>
    <w:rsid w:val="00765137"/>
    <w:rsid w:val="0077192D"/>
    <w:rsid w:val="0077280F"/>
    <w:rsid w:val="007738C0"/>
    <w:rsid w:val="007759D0"/>
    <w:rsid w:val="00776BC1"/>
    <w:rsid w:val="0079461A"/>
    <w:rsid w:val="00796AC6"/>
    <w:rsid w:val="00797F55"/>
    <w:rsid w:val="007A53C8"/>
    <w:rsid w:val="007A5FD1"/>
    <w:rsid w:val="007B2F24"/>
    <w:rsid w:val="007B3277"/>
    <w:rsid w:val="007D0B19"/>
    <w:rsid w:val="007E22FF"/>
    <w:rsid w:val="007F114A"/>
    <w:rsid w:val="007F4CF8"/>
    <w:rsid w:val="00801EDF"/>
    <w:rsid w:val="00802A7E"/>
    <w:rsid w:val="0080512A"/>
    <w:rsid w:val="008078BA"/>
    <w:rsid w:val="00814A51"/>
    <w:rsid w:val="00825609"/>
    <w:rsid w:val="008360BB"/>
    <w:rsid w:val="00847371"/>
    <w:rsid w:val="008507A3"/>
    <w:rsid w:val="00866785"/>
    <w:rsid w:val="008928DB"/>
    <w:rsid w:val="008B1796"/>
    <w:rsid w:val="008B6348"/>
    <w:rsid w:val="008C06AF"/>
    <w:rsid w:val="008E29D9"/>
    <w:rsid w:val="008E39C9"/>
    <w:rsid w:val="008E48C8"/>
    <w:rsid w:val="008E65AD"/>
    <w:rsid w:val="008E7A03"/>
    <w:rsid w:val="008F4B12"/>
    <w:rsid w:val="008F6A25"/>
    <w:rsid w:val="0090049D"/>
    <w:rsid w:val="00901601"/>
    <w:rsid w:val="00924FCE"/>
    <w:rsid w:val="00944143"/>
    <w:rsid w:val="009569B6"/>
    <w:rsid w:val="00956C0B"/>
    <w:rsid w:val="00964475"/>
    <w:rsid w:val="00975926"/>
    <w:rsid w:val="009759DE"/>
    <w:rsid w:val="0097678F"/>
    <w:rsid w:val="009806C1"/>
    <w:rsid w:val="00996E59"/>
    <w:rsid w:val="009A09C7"/>
    <w:rsid w:val="009B6454"/>
    <w:rsid w:val="009C7511"/>
    <w:rsid w:val="009D35C5"/>
    <w:rsid w:val="009D5F79"/>
    <w:rsid w:val="009D6C6F"/>
    <w:rsid w:val="009E338C"/>
    <w:rsid w:val="009F370B"/>
    <w:rsid w:val="00A0229B"/>
    <w:rsid w:val="00A06AC2"/>
    <w:rsid w:val="00A0784B"/>
    <w:rsid w:val="00A112C8"/>
    <w:rsid w:val="00A1531E"/>
    <w:rsid w:val="00A1605F"/>
    <w:rsid w:val="00A22D74"/>
    <w:rsid w:val="00A22F03"/>
    <w:rsid w:val="00A2509F"/>
    <w:rsid w:val="00A25C57"/>
    <w:rsid w:val="00A26558"/>
    <w:rsid w:val="00A345CA"/>
    <w:rsid w:val="00A72535"/>
    <w:rsid w:val="00A848F0"/>
    <w:rsid w:val="00A907F4"/>
    <w:rsid w:val="00A93844"/>
    <w:rsid w:val="00AA1F74"/>
    <w:rsid w:val="00AA47F4"/>
    <w:rsid w:val="00AC339A"/>
    <w:rsid w:val="00AE4A3D"/>
    <w:rsid w:val="00AF0EC9"/>
    <w:rsid w:val="00AF4DFA"/>
    <w:rsid w:val="00B010BB"/>
    <w:rsid w:val="00B03AF0"/>
    <w:rsid w:val="00B06A04"/>
    <w:rsid w:val="00B075D0"/>
    <w:rsid w:val="00B119BE"/>
    <w:rsid w:val="00B17F2F"/>
    <w:rsid w:val="00B228A0"/>
    <w:rsid w:val="00B31237"/>
    <w:rsid w:val="00B37026"/>
    <w:rsid w:val="00B42EFB"/>
    <w:rsid w:val="00B539E8"/>
    <w:rsid w:val="00B61DCE"/>
    <w:rsid w:val="00B6367D"/>
    <w:rsid w:val="00B725A2"/>
    <w:rsid w:val="00B8032C"/>
    <w:rsid w:val="00B84CB8"/>
    <w:rsid w:val="00B91F66"/>
    <w:rsid w:val="00B9315F"/>
    <w:rsid w:val="00BB62EC"/>
    <w:rsid w:val="00BC02B0"/>
    <w:rsid w:val="00BC2498"/>
    <w:rsid w:val="00BC4A5A"/>
    <w:rsid w:val="00BE106D"/>
    <w:rsid w:val="00BE1701"/>
    <w:rsid w:val="00BE210C"/>
    <w:rsid w:val="00BE7842"/>
    <w:rsid w:val="00BF1BEB"/>
    <w:rsid w:val="00BF63FF"/>
    <w:rsid w:val="00C03370"/>
    <w:rsid w:val="00C25A1C"/>
    <w:rsid w:val="00C30EEE"/>
    <w:rsid w:val="00C45FF0"/>
    <w:rsid w:val="00C50A60"/>
    <w:rsid w:val="00C57648"/>
    <w:rsid w:val="00C7679A"/>
    <w:rsid w:val="00C77670"/>
    <w:rsid w:val="00C92482"/>
    <w:rsid w:val="00C936A8"/>
    <w:rsid w:val="00C9513D"/>
    <w:rsid w:val="00C96141"/>
    <w:rsid w:val="00C9778E"/>
    <w:rsid w:val="00CA1144"/>
    <w:rsid w:val="00CA1197"/>
    <w:rsid w:val="00CA4867"/>
    <w:rsid w:val="00CA7189"/>
    <w:rsid w:val="00CB1C01"/>
    <w:rsid w:val="00CC5DEB"/>
    <w:rsid w:val="00CD4551"/>
    <w:rsid w:val="00CE0BD4"/>
    <w:rsid w:val="00CE5364"/>
    <w:rsid w:val="00CF192A"/>
    <w:rsid w:val="00D3178F"/>
    <w:rsid w:val="00D33F1F"/>
    <w:rsid w:val="00D37E25"/>
    <w:rsid w:val="00D425D5"/>
    <w:rsid w:val="00D528FB"/>
    <w:rsid w:val="00D53CF4"/>
    <w:rsid w:val="00D858B9"/>
    <w:rsid w:val="00DA1052"/>
    <w:rsid w:val="00DA2465"/>
    <w:rsid w:val="00DA3864"/>
    <w:rsid w:val="00DA3CCA"/>
    <w:rsid w:val="00DA4D98"/>
    <w:rsid w:val="00DA504E"/>
    <w:rsid w:val="00DB2910"/>
    <w:rsid w:val="00DB4464"/>
    <w:rsid w:val="00DC0486"/>
    <w:rsid w:val="00DC425A"/>
    <w:rsid w:val="00DD43C0"/>
    <w:rsid w:val="00DE16D8"/>
    <w:rsid w:val="00DE32D5"/>
    <w:rsid w:val="00DF16A4"/>
    <w:rsid w:val="00DF7E36"/>
    <w:rsid w:val="00E064BD"/>
    <w:rsid w:val="00E24193"/>
    <w:rsid w:val="00E546DC"/>
    <w:rsid w:val="00E569C7"/>
    <w:rsid w:val="00E61A80"/>
    <w:rsid w:val="00E654FB"/>
    <w:rsid w:val="00E7101A"/>
    <w:rsid w:val="00E733E9"/>
    <w:rsid w:val="00E73625"/>
    <w:rsid w:val="00E76CC2"/>
    <w:rsid w:val="00E83A58"/>
    <w:rsid w:val="00E90C6F"/>
    <w:rsid w:val="00E9337F"/>
    <w:rsid w:val="00EA6D08"/>
    <w:rsid w:val="00EB7C18"/>
    <w:rsid w:val="00EC77EC"/>
    <w:rsid w:val="00F0178C"/>
    <w:rsid w:val="00F10409"/>
    <w:rsid w:val="00F14E96"/>
    <w:rsid w:val="00F31241"/>
    <w:rsid w:val="00F319B5"/>
    <w:rsid w:val="00F346B3"/>
    <w:rsid w:val="00F36128"/>
    <w:rsid w:val="00F5022D"/>
    <w:rsid w:val="00F63CD1"/>
    <w:rsid w:val="00F6552E"/>
    <w:rsid w:val="00F66D33"/>
    <w:rsid w:val="00F90FA5"/>
    <w:rsid w:val="00F963E3"/>
    <w:rsid w:val="00FD16A4"/>
    <w:rsid w:val="00FE0C9D"/>
    <w:rsid w:val="00FE3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6AACD"/>
  <w15:chartTrackingRefBased/>
  <w15:docId w15:val="{A8CAF5B8-0469-4720-A99A-9C440E32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278"/>
    <w:rPr>
      <w:rFonts w:eastAsiaTheme="majorEastAsia" w:cstheme="majorBidi"/>
      <w:color w:val="272727" w:themeColor="text1" w:themeTint="D8"/>
    </w:rPr>
  </w:style>
  <w:style w:type="paragraph" w:styleId="Title">
    <w:name w:val="Title"/>
    <w:basedOn w:val="Normal"/>
    <w:next w:val="Normal"/>
    <w:link w:val="TitleChar"/>
    <w:uiPriority w:val="10"/>
    <w:qFormat/>
    <w:rsid w:val="002F3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278"/>
    <w:pPr>
      <w:spacing w:before="160"/>
      <w:jc w:val="center"/>
    </w:pPr>
    <w:rPr>
      <w:i/>
      <w:iCs/>
      <w:color w:val="404040" w:themeColor="text1" w:themeTint="BF"/>
    </w:rPr>
  </w:style>
  <w:style w:type="character" w:customStyle="1" w:styleId="QuoteChar">
    <w:name w:val="Quote Char"/>
    <w:basedOn w:val="DefaultParagraphFont"/>
    <w:link w:val="Quote"/>
    <w:uiPriority w:val="29"/>
    <w:rsid w:val="002F3278"/>
    <w:rPr>
      <w:i/>
      <w:iCs/>
      <w:color w:val="404040" w:themeColor="text1" w:themeTint="BF"/>
    </w:rPr>
  </w:style>
  <w:style w:type="paragraph" w:styleId="ListParagraph">
    <w:name w:val="List Paragraph"/>
    <w:basedOn w:val="Normal"/>
    <w:uiPriority w:val="34"/>
    <w:qFormat/>
    <w:rsid w:val="002F3278"/>
    <w:pPr>
      <w:ind w:left="720"/>
      <w:contextualSpacing/>
    </w:pPr>
  </w:style>
  <w:style w:type="character" w:styleId="IntenseEmphasis">
    <w:name w:val="Intense Emphasis"/>
    <w:basedOn w:val="DefaultParagraphFont"/>
    <w:uiPriority w:val="21"/>
    <w:qFormat/>
    <w:rsid w:val="002F3278"/>
    <w:rPr>
      <w:i/>
      <w:iCs/>
      <w:color w:val="0F4761" w:themeColor="accent1" w:themeShade="BF"/>
    </w:rPr>
  </w:style>
  <w:style w:type="paragraph" w:styleId="IntenseQuote">
    <w:name w:val="Intense Quote"/>
    <w:basedOn w:val="Normal"/>
    <w:next w:val="Normal"/>
    <w:link w:val="IntenseQuoteChar"/>
    <w:uiPriority w:val="30"/>
    <w:qFormat/>
    <w:rsid w:val="002F3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278"/>
    <w:rPr>
      <w:i/>
      <w:iCs/>
      <w:color w:val="0F4761" w:themeColor="accent1" w:themeShade="BF"/>
    </w:rPr>
  </w:style>
  <w:style w:type="character" w:styleId="IntenseReference">
    <w:name w:val="Intense Reference"/>
    <w:basedOn w:val="DefaultParagraphFont"/>
    <w:uiPriority w:val="32"/>
    <w:qFormat/>
    <w:rsid w:val="002F3278"/>
    <w:rPr>
      <w:b/>
      <w:bCs/>
      <w:smallCaps/>
      <w:color w:val="0F4761" w:themeColor="accent1" w:themeShade="BF"/>
      <w:spacing w:val="5"/>
    </w:rPr>
  </w:style>
  <w:style w:type="paragraph" w:styleId="Header">
    <w:name w:val="header"/>
    <w:basedOn w:val="Normal"/>
    <w:link w:val="HeaderChar"/>
    <w:uiPriority w:val="99"/>
    <w:unhideWhenUsed/>
    <w:rsid w:val="00975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9DE"/>
  </w:style>
  <w:style w:type="paragraph" w:styleId="Footer">
    <w:name w:val="footer"/>
    <w:basedOn w:val="Normal"/>
    <w:link w:val="FooterChar"/>
    <w:uiPriority w:val="99"/>
    <w:unhideWhenUsed/>
    <w:rsid w:val="00975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9DE"/>
  </w:style>
  <w:style w:type="character" w:styleId="Hyperlink">
    <w:name w:val="Hyperlink"/>
    <w:basedOn w:val="DefaultParagraphFont"/>
    <w:uiPriority w:val="99"/>
    <w:unhideWhenUsed/>
    <w:rsid w:val="00B42EFB"/>
    <w:rPr>
      <w:color w:val="467886" w:themeColor="hyperlink"/>
      <w:u w:val="single"/>
    </w:rPr>
  </w:style>
  <w:style w:type="character" w:styleId="CommentReference">
    <w:name w:val="annotation reference"/>
    <w:basedOn w:val="DefaultParagraphFont"/>
    <w:uiPriority w:val="99"/>
    <w:semiHidden/>
    <w:unhideWhenUsed/>
    <w:rsid w:val="005A15C4"/>
    <w:rPr>
      <w:sz w:val="16"/>
      <w:szCs w:val="16"/>
    </w:rPr>
  </w:style>
  <w:style w:type="paragraph" w:styleId="CommentText">
    <w:name w:val="annotation text"/>
    <w:basedOn w:val="Normal"/>
    <w:link w:val="CommentTextChar"/>
    <w:uiPriority w:val="99"/>
    <w:unhideWhenUsed/>
    <w:rsid w:val="005A15C4"/>
    <w:pPr>
      <w:spacing w:line="240" w:lineRule="auto"/>
    </w:pPr>
    <w:rPr>
      <w:sz w:val="20"/>
      <w:szCs w:val="20"/>
    </w:rPr>
  </w:style>
  <w:style w:type="character" w:customStyle="1" w:styleId="CommentTextChar">
    <w:name w:val="Comment Text Char"/>
    <w:basedOn w:val="DefaultParagraphFont"/>
    <w:link w:val="CommentText"/>
    <w:uiPriority w:val="99"/>
    <w:rsid w:val="005A15C4"/>
    <w:rPr>
      <w:sz w:val="20"/>
      <w:szCs w:val="20"/>
    </w:rPr>
  </w:style>
  <w:style w:type="paragraph" w:styleId="CommentSubject">
    <w:name w:val="annotation subject"/>
    <w:basedOn w:val="CommentText"/>
    <w:next w:val="CommentText"/>
    <w:link w:val="CommentSubjectChar"/>
    <w:uiPriority w:val="99"/>
    <w:semiHidden/>
    <w:unhideWhenUsed/>
    <w:rsid w:val="005A15C4"/>
    <w:rPr>
      <w:b/>
      <w:bCs/>
    </w:rPr>
  </w:style>
  <w:style w:type="character" w:customStyle="1" w:styleId="CommentSubjectChar">
    <w:name w:val="Comment Subject Char"/>
    <w:basedOn w:val="CommentTextChar"/>
    <w:link w:val="CommentSubject"/>
    <w:uiPriority w:val="99"/>
    <w:semiHidden/>
    <w:rsid w:val="005A15C4"/>
    <w:rPr>
      <w:b/>
      <w:bCs/>
      <w:sz w:val="20"/>
      <w:szCs w:val="20"/>
    </w:rPr>
  </w:style>
  <w:style w:type="character" w:styleId="UnresolvedMention">
    <w:name w:val="Unresolved Mention"/>
    <w:basedOn w:val="DefaultParagraphFont"/>
    <w:uiPriority w:val="99"/>
    <w:semiHidden/>
    <w:unhideWhenUsed/>
    <w:rsid w:val="001977AA"/>
    <w:rPr>
      <w:color w:val="605E5C"/>
      <w:shd w:val="clear" w:color="auto" w:fill="E1DFDD"/>
    </w:rPr>
  </w:style>
  <w:style w:type="character" w:styleId="FollowedHyperlink">
    <w:name w:val="FollowedHyperlink"/>
    <w:basedOn w:val="DefaultParagraphFont"/>
    <w:uiPriority w:val="99"/>
    <w:semiHidden/>
    <w:unhideWhenUsed/>
    <w:rsid w:val="002D490E"/>
    <w:rPr>
      <w:color w:val="96607D" w:themeColor="followedHyperlink"/>
      <w:u w:val="single"/>
    </w:rPr>
  </w:style>
  <w:style w:type="paragraph" w:styleId="Revision">
    <w:name w:val="Revision"/>
    <w:hidden/>
    <w:uiPriority w:val="99"/>
    <w:semiHidden/>
    <w:rsid w:val="00996E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allup.com/workplace/349484/state-of-the-global-workplace.aspx"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shrm.org/executive-network/insights/future-of-talent-retention-report-why-employees-leave?utm_source=chatgp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sinesswire.com/news/home/20240820571764/en/UKG-and-HR.com-Survey-Reveals-Top-HR-Challenges-for-Small-to-Mid-sized-Businesses?utm_source=chatgpt.com" TargetMode="External"/><Relationship Id="rId5" Type="http://schemas.openxmlformats.org/officeDocument/2006/relationships/webSettings" Target="webSettings.xml"/><Relationship Id="rId15" Type="http://schemas.openxmlformats.org/officeDocument/2006/relationships/hyperlink" Target="https://www.leaderscode.com/fractional-hr/" TargetMode="External"/><Relationship Id="rId10" Type="http://schemas.openxmlformats.org/officeDocument/2006/relationships/hyperlink" Target="mailto:abreur@utahbroadband.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rpitzer@pitzerrelations.com" TargetMode="External"/><Relationship Id="rId14" Type="http://schemas.openxmlformats.org/officeDocument/2006/relationships/hyperlink" Target="https://www.gartner.com/en/human-resources/trends/a-new-strategic-vision-for-hr-expanding-role?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3F1AB33E48E468673EDBFFB83D595" ma:contentTypeVersion="11" ma:contentTypeDescription="Create a new document." ma:contentTypeScope="" ma:versionID="d0c62ff5249657e4dfefc08cf38b79ce">
  <xsd:schema xmlns:xsd="http://www.w3.org/2001/XMLSchema" xmlns:xs="http://www.w3.org/2001/XMLSchema" xmlns:p="http://schemas.microsoft.com/office/2006/metadata/properties" xmlns:ns2="bc1acb8c-d88a-411f-b59f-651a3f41c632" xmlns:ns3="bc364ef7-a1d9-43be-99b1-445ecbcdbde7" targetNamespace="http://schemas.microsoft.com/office/2006/metadata/properties" ma:root="true" ma:fieldsID="1c2838b0f436842f25b5749f7575bce4" ns2:_="" ns3:_="">
    <xsd:import namespace="bc1acb8c-d88a-411f-b59f-651a3f41c632"/>
    <xsd:import namespace="bc364ef7-a1d9-43be-99b1-445ecbcdbd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acb8c-d88a-411f-b59f-651a3f41c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2c1463-d165-4c2e-a5c4-106a7fa77d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364ef7-a1d9-43be-99b1-445ecbcdbd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2888da-85a3-4d4d-958e-039686a70840}" ma:internalName="TaxCatchAll" ma:showField="CatchAllData" ma:web="bc364ef7-a1d9-43be-99b1-445ecbcdb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1acb8c-d88a-411f-b59f-651a3f41c632">
      <Terms xmlns="http://schemas.microsoft.com/office/infopath/2007/PartnerControls"/>
    </lcf76f155ced4ddcb4097134ff3c332f>
    <TaxCatchAll xmlns="bc364ef7-a1d9-43be-99b1-445ecbcdbde7" xsi:nil="true"/>
  </documentManagement>
</p:properties>
</file>

<file path=customXml/itemProps1.xml><?xml version="1.0" encoding="utf-8"?>
<ds:datastoreItem xmlns:ds="http://schemas.openxmlformats.org/officeDocument/2006/customXml" ds:itemID="{612981A9-50BF-4FED-AD47-EFB4F3C506CF}">
  <ds:schemaRefs>
    <ds:schemaRef ds:uri="http://schemas.openxmlformats.org/officeDocument/2006/bibliography"/>
  </ds:schemaRefs>
</ds:datastoreItem>
</file>

<file path=customXml/itemProps2.xml><?xml version="1.0" encoding="utf-8"?>
<ds:datastoreItem xmlns:ds="http://schemas.openxmlformats.org/officeDocument/2006/customXml" ds:itemID="{8B4A576E-AED7-4122-9E2B-3AADE62BE487}"/>
</file>

<file path=customXml/itemProps3.xml><?xml version="1.0" encoding="utf-8"?>
<ds:datastoreItem xmlns:ds="http://schemas.openxmlformats.org/officeDocument/2006/customXml" ds:itemID="{A4041FBB-FE07-4FDA-B646-9E3D6F04A29B}"/>
</file>

<file path=customXml/itemProps4.xml><?xml version="1.0" encoding="utf-8"?>
<ds:datastoreItem xmlns:ds="http://schemas.openxmlformats.org/officeDocument/2006/customXml" ds:itemID="{D10A22F4-A508-494E-BDC5-6001E0DF5C05}"/>
</file>

<file path=docProps/app.xml><?xml version="1.0" encoding="utf-8"?>
<Properties xmlns="http://schemas.openxmlformats.org/officeDocument/2006/extended-properties" xmlns:vt="http://schemas.openxmlformats.org/officeDocument/2006/docPropsVTypes">
  <Template>Normal</Template>
  <TotalTime>99</TotalTime>
  <Pages>3</Pages>
  <Words>922</Words>
  <Characters>5929</Characters>
  <Application>Microsoft Office Word</Application>
  <DocSecurity>0</DocSecurity>
  <Lines>104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Pitzer</dc:creator>
  <cp:keywords/>
  <dc:description/>
  <cp:lastModifiedBy>Randolph Pitzer</cp:lastModifiedBy>
  <cp:revision>17</cp:revision>
  <cp:lastPrinted>2026-01-09T12:59:00Z</cp:lastPrinted>
  <dcterms:created xsi:type="dcterms:W3CDTF">2026-01-19T17:11:00Z</dcterms:created>
  <dcterms:modified xsi:type="dcterms:W3CDTF">2026-01-21T15:19:00Z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0x0101000D63F1AB33E48E468673EDBFFB83D595</vt:lpwstr>
  </property>
</Properties>
</file>